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3274"/>
          <w:sz w:val="69"/>
        </w:rPr>
        <w:t>눈 쌓인 언덕 창</w:t>
      </w:r>
    </w:p>
    <w:p>
      <w:pPr>
        <w:framePr w:w="9510" w:h="540" w:hRule="exact" w:wrap="around" w:vAnchor="page" w:hAnchor="page" w:x="1200" w:y="9510"/>
        <w:tabs>
          <w:tab w:pos="9510" w:val="right"/>
        </w:tabs>
        <w:spacing w:lineRule="exact" w:line="540"/>
      </w:pPr>
      <w:r>
        <w:rPr>
          <w:b/>
          <w:color w:val="282F57"/>
          <w:sz w:val="24"/>
        </w:rPr>
        <w:t xml:space="preserve">받는 사람 : </w:t>
      </w:r>
      <w:r>
        <w:rPr>
          <w:b/>
          <w:color w:val="282F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3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눈 쌓인 언덕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눈 쌓인 언덕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