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2B"/>
          <w:sz w:val="66"/>
        </w:rPr>
        <w:t>눈 오는 도시의 밤</w:t>
      </w:r>
    </w:p>
    <w:p>
      <w:pPr>
        <w:framePr w:w="9510" w:h="540" w:hRule="exact" w:wrap="around" w:vAnchor="page" w:hAnchor="page" w:x="1200" w:y="9285"/>
        <w:tabs>
          <w:tab w:pos="95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5" w:right="1200" w:bottom="147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 오는 도시의 밤 편지지 배경 그림"/>
          <wp:cNvGraphicFramePr/>
          <a:graphic>
            <a:graphicData uri="http://schemas.openxmlformats.org/drawingml/2006/picture">
              <pic:pic>
                <pic:nvPicPr>
                  <pic:cNvPr id="0" name="window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눈 오는 도시의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