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C4954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87A8A"/>
                <w:sz w:val="18"/>
              </w:rPr>
              <w:t>건설 현장관리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C4954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5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7A8A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4954"/>
                <w:sz w:val="19"/>
              </w:rPr>
              <w:t>건설 현장을 선택한 이유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5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7A8A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4954"/>
                <w:sz w:val="19"/>
              </w:rPr>
              <w:t>협력업체·작업자와 소통하며 문제를 푼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5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7A8A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4954"/>
                <w:sz w:val="19"/>
              </w:rPr>
              <w:t>입사 후 10년 뒤 나의 모습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5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7A8A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4954"/>
                <w:sz w:val="19"/>
              </w:rPr>
              <w:t>도면·시방서를 해석해 문제를 해결한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5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7A8A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4954"/>
                <w:sz w:val="19"/>
              </w:rPr>
              <w:t>현장 관리자로서 지켜야 할 책임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