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493727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5CBC3"/>
        </w:pBdr>
        <w:spacing w:before="0" w:after="200"/>
        <w:jc w:val="left"/>
      </w:pPr>
      <w:r>
        <w:rPr>
          <w:color w:val="8A929C"/>
          <w:sz w:val="20"/>
        </w:rPr>
        <w:t>건설 현장관리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A5F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93727"/>
                <w:sz w:val="21"/>
              </w:rPr>
              <w:t>건설 현장을 선택한 이유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A5F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93727"/>
                <w:sz w:val="21"/>
              </w:rPr>
              <w:t>공기·품질·안전이 충돌했을 때 판단한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A5F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93727"/>
                <w:sz w:val="21"/>
              </w:rPr>
              <w:t>입사 후 10년 뒤 나의 모습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A5F48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7A5F48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5F3F2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93727"/>
                <w:sz w:val="21"/>
              </w:rPr>
              <w:t>현장 관리자로서 지켜야 할 책임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7A5F48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5F3F2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