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맑은 고딕" w:hAnsi="맑은 고딕" w:eastAsia="맑은 고딕" w:cs="맑은 고딕"/>
          <w:b/>
          <w:color w:val="4F2228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D5C3C5"/>
        </w:pBdr>
        <w:spacing w:before="0" w:after="200"/>
        <w:jc w:val="left"/>
      </w:pPr>
      <w:r>
        <w:rPr>
          <w:color w:val="8A929C"/>
          <w:sz w:val="20"/>
        </w:rPr>
        <w:t>프론트엔드 개발자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24049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24049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24049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2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24049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24049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2228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6F1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F2228"/>
                <w:sz w:val="21"/>
              </w:rPr>
              <w:t>사용자 경험을 개선했던 구체적 사례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(수치 · 전후 비교, 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24049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24049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2228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6F1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F2228"/>
                <w:sz w:val="21"/>
              </w:rPr>
              <w:t>성능·접근성 문제를 발견하고 고친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24049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24049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2228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6F1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F2228"/>
                <w:sz w:val="21"/>
              </w:rPr>
              <w:t>우리 서비스에서 가장 먼저 개선하고 싶은 화면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24049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24049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2228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6F1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F2228"/>
                <w:sz w:val="21"/>
              </w:rPr>
              <w:t>사용자 피드백을 제품에 반영한 방식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824049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6F1F2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프론트엔드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