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c>
          <w:tcPr>
            <w:tcW w:type="dxa" w:w="288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B4634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4D755A"/>
                <w:sz w:val="18"/>
              </w:rPr>
              <w:t>병원 행정·간호조무사</w:t>
            </w:r>
          </w:p>
        </w:tc>
        <w:tc>
          <w:tcPr>
            <w:tcW w:type="dxa" w:w="7530"/>
          </w:tcPr>
          <w:p>
            <w:pPr>
              <w:tabs>
                <w:tab w:pos="738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2B4634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2F5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755A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B4634"/>
                <w:sz w:val="19"/>
              </w:rPr>
              <w:t>의료기관에서 일하고 싶은 이유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2F5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755A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B4634"/>
                <w:sz w:val="19"/>
              </w:rPr>
              <w:t>보험 청구·접수 같은 정확성이 필요한 업무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2F5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755A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B4634"/>
                <w:sz w:val="19"/>
              </w:rPr>
              <w:t>입사 후 목표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2F5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755A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B4634"/>
                <w:sz w:val="19"/>
              </w:rPr>
              <w:t>바쁜 시간대에 업무 우선순위를 정한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2F5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755A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B4634"/>
                <w:sz w:val="19"/>
              </w:rPr>
              <w:t>고객 불편을 줄이기 위해 절차를 개선한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