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F6773"/>
              <w:bottom w:val="nil"/>
              <w:right w:val="nil"/>
            </w:tcBorders>
            <w:shd w:val="clear" w:color="auto" w:fill="E3E6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콘텐츠·SNS 마케터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sz w:val="21"/>
        </w:rPr>
        <w:t>반응이 가장 좋았던 콘텐츠와 그 이유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sz w:val="21"/>
        </w:rPr>
        <w:t>트렌드를 찾고 우리 브랜드로 옮기는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sz w:val="21"/>
        </w:rPr>
        <w:t>브랜드 목소리(톤앤매너)를 정하고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4. </w:t>
      </w:r>
      <w:r>
        <w:rPr>
          <w:b/>
          <w:sz w:val="21"/>
        </w:rPr>
        <w:t>직접 운영한 채널 이야기와 성장 과정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5. </w:t>
      </w:r>
      <w:r>
        <w:rPr>
          <w:b/>
          <w:sz w:val="21"/>
        </w:rPr>
        <w:t>성과를 분석해 다음 콘텐츠에 반영한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