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D2C6D2"/>
        </w:pBdr>
        <w:spacing w:before="0" w:after="200"/>
        <w:jc w:val="left"/>
      </w:pPr>
      <w:r>
        <w:rPr>
          <w:color w:val="8A929C"/>
          <w:sz w:val="20"/>
        </w:rPr>
        <w:t>물류·구매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715071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15071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5F2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32D43"/>
                <w:sz w:val="21"/>
              </w:rPr>
              <w:t>재고·배송 문제를 해결한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6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15071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5F2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32D43"/>
                <w:sz w:val="21"/>
              </w:rPr>
              <w:t>협력사와 단가·납기를 협상한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(700자)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15071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5F2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32D43"/>
                <w:sz w:val="21"/>
              </w:rPr>
              <w:t>입사 후 목표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715071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715071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5F2F5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432D43"/>
                <w:sz w:val="21"/>
              </w:rPr>
              <w:t>현장과 사무 부서 사이를 조율한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715071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5F2F5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