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95357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22"/>
              </w:rPr>
              <w:t>인사·총무</w:t>
            </w:r>
            <w:r>
              <w:rPr>
                <w:color w:val="8A929C"/>
                <w:spacing w:val="20"/>
                <w:sz w:val="16"/>
              </w:rPr>
              <w:t xml:space="preserve">   ·   HR · GENERAL AFFAIRS</w:t>
            </w:r>
          </w:p>
        </w:tc>
      </w:tr>
    </w:tbl>
    <w:p>
      <w:pPr>
        <w:keepNext w:val="0"/>
        <w:pBdr>
          <w:bottom w:val="single" w:sz="18" w:space="1" w:color="34888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희망연봉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34888E"/>
                <w:sz w:val="16"/>
              </w:rPr>
              <w:t xml:space="preserve">주소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01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담당 영역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채용      □ 급여 · 4대보험      □ 평가 · 보상      □ 교육      □ 노무 · 근태      □ 총무 · 자산      □ 복리후생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02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회사명 / 인원 규모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03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제도 개선 ·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34888E"/>
                <w:sz w:val="16"/>
              </w:rPr>
              <w:t>배경 · 내용 ·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04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자격 · 활용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자격 · 프로그램명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34888E"/>
          <w:sz w:val="22"/>
        </w:rPr>
        <w:t>05</w:t>
      </w:r>
      <w:r>
        <w:rPr>
          <w:rFonts w:ascii="맑은 고딕" w:hAnsi="맑은 고딕" w:eastAsia="맑은 고딕" w:cs="맑은 고딕"/>
          <w:b/>
          <w:color w:val="195357"/>
          <w:sz w:val="23"/>
        </w:rPr>
        <w:t xml:space="preserve">   학력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4888E"/>
              <w:left w:val="single" w:sz="4" w:space="0" w:color="C3D4D5"/>
              <w:bottom w:val="single" w:sz="4" w:space="0" w:color="C3D4D5"/>
              <w:right w:val="single" w:sz="4" w:space="0" w:color="C3D4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95357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내 용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