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22"/>
              </w:rPr>
              <w:t>법인영업(B2B)</w:t>
            </w:r>
            <w:r>
              <w:rPr>
                <w:color w:val="8A929C"/>
                <w:spacing w:val="20"/>
                <w:sz w:val="16"/>
              </w:rPr>
              <w:t xml:space="preserve">   ·   B2B SALES</w:t>
            </w:r>
          </w:p>
        </w:tc>
        <w:tc>
          <w:tcPr>
            <w:tcW w:type="dxa" w:w="1560"/>
            <w:tcBorders>
              <w:top w:val="single" w:sz="6" w:space="0" w:color="D4CAC4"/>
              <w:left w:val="single" w:sz="6" w:space="0" w:color="D4CAC4"/>
              <w:bottom w:val="single" w:sz="6" w:space="0" w:color="D4CAC4"/>
              <w:right w:val="single" w:sz="6" w:space="0" w:color="D4CAC4"/>
            </w:tcBorders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D4CAC4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65B4B"/>
          <w:sz w:val="22"/>
        </w:rPr>
        <w:t>01</w:t>
      </w:r>
      <w:r>
        <w:rPr>
          <w:rFonts w:ascii="바탕" w:hAnsi="바탕" w:eastAsia="바탕" w:cs="바탕"/>
          <w:b/>
          <w:color w:val="47342A"/>
          <w:sz w:val="23"/>
        </w:rPr>
        <w:t xml:space="preserve">   영업 실적 (연도별)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65B4B"/>
          <w:sz w:val="22"/>
        </w:rPr>
        <w:t>02</w:t>
      </w:r>
      <w:r>
        <w:rPr>
          <w:rFonts w:ascii="바탕" w:hAnsi="바탕" w:eastAsia="바탕" w:cs="바탕"/>
          <w:b/>
          <w:color w:val="47342A"/>
          <w:sz w:val="23"/>
        </w:rPr>
        <w:t xml:space="preserve">   주요 거래처 · 수주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제안 상품 · 솔루션</w:t>
            </w:r>
            <w:r>
              <w:rPr>
                <w:color w:val="A9B0B8"/>
                <w:sz w:val="18"/>
              </w:rPr>
              <w:tab/>
              <w:t>거래처(업종)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제안 상품 · 솔루션</w:t>
            </w:r>
            <w:r>
              <w:rPr>
                <w:color w:val="A9B0B8"/>
                <w:sz w:val="18"/>
              </w:rPr>
              <w:tab/>
              <w:t>거래처(업종)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제안 상품 · 솔루션</w:t>
            </w:r>
            <w:r>
              <w:rPr>
                <w:color w:val="A9B0B8"/>
                <w:sz w:val="18"/>
              </w:rPr>
              <w:tab/>
              <w:t>거래처(업종)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65B4B"/>
          <w:sz w:val="22"/>
        </w:rPr>
        <w:t>03</w:t>
      </w:r>
      <w:r>
        <w:rPr>
          <w:rFonts w:ascii="바탕" w:hAnsi="바탕" w:eastAsia="바탕" w:cs="바탕"/>
          <w:b/>
          <w:color w:val="47342A"/>
          <w:sz w:val="23"/>
        </w:rPr>
        <w:t xml:space="preserve">   영업 방식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신규 개척      □ 기존 고객 관리      □ 입찰 · 제안      □ 채널 · 대리점      □ 전화 · 온라인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65B4B"/>
          <w:sz w:val="22"/>
        </w:rPr>
        <w:t>04</w:t>
      </w:r>
      <w:r>
        <w:rPr>
          <w:rFonts w:ascii="바탕" w:hAnsi="바탕" w:eastAsia="바탕" w:cs="바탕"/>
          <w:b/>
          <w:color w:val="47342A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765B4B"/>
          <w:sz w:val="22"/>
        </w:rPr>
        <w:t>05</w:t>
      </w:r>
      <w:r>
        <w:rPr>
          <w:rFonts w:ascii="바탕" w:hAnsi="바탕" w:eastAsia="바탕" w:cs="바탕"/>
          <w:b/>
          <w:color w:val="47342A"/>
          <w:sz w:val="23"/>
        </w:rPr>
        <w:t xml:space="preserve">   학력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학교 / 자격명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4CAC4"/>
              <w:left w:val="single" w:sz="30" w:space="0" w:color="765B4B"/>
              <w:bottom w:val="single" w:sz="4" w:space="0" w:color="D4CAC4"/>
              <w:right w:val="single" w:sz="4" w:space="0" w:color="D4CAC4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7342A"/>
                <w:sz w:val="21"/>
              </w:rPr>
              <w:t>학교 / 자격명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