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22"/>
              </w:rPr>
              <w:t>보험·금융 영업</w:t>
            </w:r>
            <w:r>
              <w:rPr>
                <w:color w:val="8A929C"/>
                <w:spacing w:val="20"/>
                <w:sz w:val="16"/>
              </w:rPr>
              <w:t xml:space="preserve">   ·   INSURANCE · FINANCE</w:t>
            </w:r>
          </w:p>
        </w:tc>
      </w:tr>
    </w:tbl>
    <w:p>
      <w:pPr>
        <w:keepNext w:val="0"/>
        <w:pBdr>
          <w:bottom w:val="single" w:sz="18" w:space="1" w:color="4F6773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6"/>
              </w:rPr>
              <w:t xml:space="preserve">활동지역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6"/>
              </w:rPr>
              <w:t xml:space="preserve">소속·직위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01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보유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02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영업 실적 (월 · 연)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03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전문 영역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보장성      □ 저축 · 연금      □ 법인      □ 자영업      □ 사회초년생      □ 시니어      □ 어린이 · 청소년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04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고객 관리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정기 안부      □ 증권 점검      □ 행사 · 모임      □ 온라인 상담      □ 소개 영업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05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경력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06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교육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교육 ·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교육 ·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