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6708A"/>
        </w:pBdr>
        <w:tabs>
          <w:tab w:pos="10350" w:val="right"/>
        </w:tabs>
        <w:spacing w:before="0" w:after="120"/>
      </w:pPr>
      <w:r>
        <w:rPr>
          <w:b/>
          <w:color w:val="2F3E4E"/>
          <w:spacing w:val="80"/>
          <w:sz w:val="40"/>
        </w:rPr>
        <w:t>자기소개서</w:t>
      </w:r>
      <w:r>
        <w:rPr>
          <w:color w:val="7A8798"/>
          <w:sz w:val="18"/>
        </w:rPr>
        <w:tab/>
        <w:t>ACCOUNTING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56708A"/>
          <w:sz w:val="21"/>
        </w:rPr>
        <w:t xml:space="preserve">1. </w:t>
      </w:r>
      <w:r>
        <w:rPr>
          <w:b/>
          <w:sz w:val="21"/>
        </w:rPr>
        <w:t>정확성이 중요했던 업무에서 오류를 막은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6708A"/>
          <w:sz w:val="21"/>
        </w:rPr>
        <w:t xml:space="preserve">2. </w:t>
      </w:r>
      <w:r>
        <w:rPr>
          <w:b/>
          <w:sz w:val="21"/>
        </w:rPr>
        <w:t>결산·세무 마감 시기에 일정을 지킨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6708A"/>
          <w:sz w:val="21"/>
        </w:rPr>
        <w:t xml:space="preserve">3. </w:t>
      </w:r>
      <w:r>
        <w:rPr>
          <w:b/>
          <w:sz w:val="21"/>
        </w:rPr>
        <w:t>회계 지식을 비전문가에게 쉽게 설명한 사례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56708A"/>
          <w:sz w:val="21"/>
        </w:rPr>
        <w:t xml:space="preserve">4. </w:t>
      </w:r>
      <w:r>
        <w:rPr>
          <w:b/>
          <w:sz w:val="21"/>
        </w:rPr>
        <w:t>업무를 자동화하거나 개선한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6708A"/>
          <w:sz w:val="21"/>
        </w:rPr>
        <w:t xml:space="preserve">5. </w:t>
      </w:r>
      <w:r>
        <w:rPr>
          <w:b/>
          <w:sz w:val="21"/>
        </w:rPr>
        <w:t>입사 후 갖추고 싶은 전문성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