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36"/>
          <w:sz w:val="69"/>
        </w:rPr>
        <w:t>바닷가 불꽃놀이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닷가 불꽃놀이 편지지 배경 그림"/>
          <wp:cNvGraphicFramePr/>
          <a:graphic>
            <a:graphicData uri="http://schemas.openxmlformats.org/drawingml/2006/picture">
              <pic:pic>
                <pic:nvPicPr>
                  <pic:cNvPr id="0" name="place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바닷가 불꽃놀이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