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876"/>
        <w:spacing w:lineRule="exact" w:line="780"/>
        <w:jc w:val="center"/>
      </w:pPr>
      <w:r>
        <w:rPr>
          <w:b/>
          <w:color w:val="B3303B"/>
          <w:sz w:val="63"/>
        </w:rPr>
        <w:t>마르지 않는 빨래</w:t>
      </w:r>
    </w:p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762E37"/>
          <w:sz w:val="24"/>
        </w:rPr>
        <w:t xml:space="preserve">받는 사람 : </w:t>
      </w:r>
      <w:r>
        <w:rPr>
          <w:b/>
          <w:color w:val="762E3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762E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마르지 않는 빨래 편지지 배경 그림"/>
          <wp:cNvGraphicFramePr/>
          <a:graphic>
            <a:graphicData uri="http://schemas.openxmlformats.org/drawingml/2006/picture">
              <pic:pic>
                <pic:nvPicPr>
                  <pic:cNvPr id="0" name="summer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마르지 않는 빨래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