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2C3C4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방과후·돌봄교사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AFTER-SCHOOL TEACHER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담당과목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희망학년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자격 · 이수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 간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학력 · 연수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근무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기관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학년 · 인원</w:t>
            </w:r>
          </w:p>
        </w:tc>
        <w:tc>
          <w:tcPr>
            <w:tcW w:type="dxa" w:w="283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CED3"/>
              <w:right w:val="nil"/>
            </w:tcBorders>
            <w:shd w:val="clear" w:color="auto" w:fill="F2F4F5"/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진행한 프로그램 · 안전 관리 사례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650" w:hRule="atLeast"/>
          <w:cantSplit/>
        </w:trPr>
        <w:tc>
          <w:tcPr>
            <w:tcW w:type="dxa" w:w="1059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3"/>
        </w:rPr>
        <w:t>가능 활동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독서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미술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과학 실험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체육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보드게임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숙제 지도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코딩</w:t>
            </w:r>
          </w:p>
        </w:tc>
        <w:tc>
          <w:tcPr>
            <w:tcW w:type="dxa" w:w="2670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기간 입력 · ○○ 돌봄교실 · 아동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방과후·돌봄교사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