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72457D"/>
              <w:bottom w:val="nil"/>
              <w:right w:val="nil"/>
            </w:tcBorders>
            <w:shd w:val="clear" w:color="auto" w:fill="E8E1E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pacing w:val="60"/>
                <w:sz w:val="46"/>
              </w:rPr>
              <w:t>이  름</w:t>
            </w:r>
            <w:r>
              <w:rPr>
                <w:b/>
                <w:color w:val="72457D"/>
                <w:sz w:val="22"/>
              </w:rPr>
              <w:tab/>
              <w:t>생산·품질관리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2457D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2457D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2457D"/>
              <w:left w:val="single" w:sz="4" w:space="0" w:color="D2C3D5"/>
              <w:bottom w:val="single" w:sz="4" w:space="0" w:color="D2C3D5"/>
              <w:right w:val="single" w:sz="4" w:space="0" w:color="D2C3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4254B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2457D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안전 · 교육 이수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교육명</w:t>
            </w:r>
          </w:p>
        </w:tc>
        <w:tc>
          <w:tcPr>
            <w:tcW w:type="dxa" w:w="42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관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학 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 공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설비 · 공정 경험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 · 공장</w:t>
            </w:r>
          </w:p>
        </w:tc>
        <w:tc>
          <w:tcPr>
            <w:tcW w:type="dxa" w:w="280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설비 · 공정</w:t>
            </w:r>
          </w:p>
        </w:tc>
        <w:tc>
          <w:tcPr>
            <w:tcW w:type="dxa" w:w="282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근무 형태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주간 고정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2교대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3교대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야근 · 특근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기숙사 가능</w:t>
            </w:r>
          </w:p>
        </w:tc>
        <w:tc>
          <w:tcPr>
            <w:tcW w:type="dxa" w:w="2625"/>
          </w:tcPr>
          <w:p/>
        </w:tc>
        <w:tc>
          <w:tcPr>
            <w:tcW w:type="dxa" w:w="2625"/>
          </w:tcPr>
          <w:p/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품질 · 불량 개선 사례 (수치로)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350" w:hRule="atLeast"/>
          <w:cantSplit/>
        </w:trPr>
        <w:tc>
          <w:tcPr>
            <w:tcW w:type="dxa" w:w="1053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4254B"/>
          <w:sz w:val="21"/>
        </w:rPr>
        <w:t>기능 · 기술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0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등 급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기간 입력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생산·품질관리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