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24049"/>
              <w:bottom w:val="nil"/>
              <w:right w:val="nil"/>
            </w:tcBorders>
            <w:shd w:val="clear" w:color="auto" w:fill="EBE0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pacing w:val="60"/>
                <w:sz w:val="46"/>
              </w:rPr>
              <w:t>이  름</w:t>
            </w:r>
            <w:r>
              <w:rPr>
                <w:b/>
                <w:color w:val="824049"/>
                <w:sz w:val="22"/>
              </w:rPr>
              <w:tab/>
              <w:t>인사·총무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담당 영역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제도 개선 ·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BE0E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프로젝트명</w:t>
            </w:r>
          </w:p>
        </w:tc>
        <w:tc>
          <w:tcPr>
            <w:tcW w:type="dxa" w:w="5265"/>
            <w:shd w:val="clear" w:color="auto" w:fill="EBE0E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자격 · 활용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