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40825F"/>
              <w:bottom w:val="nil"/>
              <w:right w:val="nil"/>
            </w:tcBorders>
            <w:shd w:val="clear" w:color="auto" w:fill="F1F6F3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24F37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회계·재무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40825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40825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40825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0825F"/>
          <w:sz w:val="21"/>
        </w:rPr>
        <w:t xml:space="preserve">1. </w:t>
      </w:r>
      <w:r>
        <w:rPr>
          <w:b/>
          <w:sz w:val="21"/>
        </w:rPr>
        <w:t>결산·세무 마감 시기에 일정을 지킨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0825F"/>
          <w:sz w:val="21"/>
        </w:rPr>
        <w:t xml:space="preserve">2. </w:t>
      </w:r>
      <w:r>
        <w:rPr>
          <w:b/>
          <w:sz w:val="21"/>
        </w:rPr>
        <w:t>회계 지식을 비전문가에게 쉽게 설명한 사례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0825F"/>
          <w:sz w:val="21"/>
        </w:rPr>
        <w:t xml:space="preserve">3. </w:t>
      </w:r>
      <w:r>
        <w:rPr>
          <w:b/>
          <w:sz w:val="21"/>
        </w:rPr>
        <w:t>회계 처리 기준이 모호했을 때 판단한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0825F"/>
          <w:sz w:val="21"/>
        </w:rPr>
        <w:t xml:space="preserve">4. </w:t>
      </w:r>
      <w:r>
        <w:rPr>
          <w:b/>
          <w:sz w:val="21"/>
        </w:rPr>
        <w:t>정확성이 중요했던 업무에서 오류를 막은 경험</w:t>
      </w:r>
      <w:r>
        <w:rPr>
          <w:color w:val="8A929C"/>
          <w:sz w:val="17"/>
        </w:rPr>
        <w:t xml:space="preserve">  (600자 · STAR로)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0825F"/>
          <w:sz w:val="21"/>
        </w:rPr>
        <w:t xml:space="preserve">5. </w:t>
      </w:r>
      <w:r>
        <w:rPr>
          <w:b/>
          <w:sz w:val="21"/>
        </w:rPr>
        <w:t>여러 부서와 자료를 주고받으며 협업한 방법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회계·재무 자기소개서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회계·재무는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담당 업무 범위(전표·결산·세무조정)와 사용한 프로그램, 결산 소요 일수 같은 수치를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월 결산이 늦어져 보고가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결산 5일 이내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계정 대사를 주간으로 나누고 체크리스트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결산 8→5일, 감사 지적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회계·재무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