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567425"/>
          <w:sz w:val="69"/>
        </w:rPr>
        <w:t>놀이터의 해질녘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놀이터의 해질녘 편지지 배경 그림"/>
          <wp:cNvGraphicFramePr/>
          <a:graphic>
            <a:graphicData uri="http://schemas.openxmlformats.org/drawingml/2006/picture">
              <pic:pic>
                <pic:nvPicPr>
                  <pic:cNvPr id="0" name="place-5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놀이터의 해질녘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