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F7425"/>
          <w:sz w:val="66"/>
        </w:rPr>
        <w:t>대리석 궁전의 새벽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리석 궁전의 새벽 편지지 배경 그림"/>
          <wp:cNvGraphicFramePr/>
          <a:graphic>
            <a:graphicData uri="http://schemas.openxmlformats.org/drawingml/2006/picture">
              <pic:pic>
                <pic:nvPicPr>
                  <pic:cNvPr id="0" name="place-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대리석 궁전의 새벽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