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2535"/>
          <w:sz w:val="66"/>
        </w:rPr>
        <w:t>흰 삿갓 같은 모자</w:t>
      </w:r>
    </w:p>
    <w:p>
      <w:pPr>
        <w:framePr w:w="9510" w:h="540" w:hRule="exact" w:wrap="around" w:vAnchor="page" w:hAnchor="page" w:x="1200" w:y="9840"/>
        <w:tabs>
          <w:tab w:pos="9510" w:val="right"/>
        </w:tabs>
        <w:spacing w:lineRule="exact" w:line="540"/>
      </w:pPr>
      <w:r>
        <w:rPr>
          <w:b/>
          <w:color w:val="532834"/>
          <w:sz w:val="24"/>
        </w:rPr>
        <w:t xml:space="preserve">받는 사람 : </w:t>
      </w:r>
      <w:r>
        <w:rPr>
          <w:b/>
          <w:color w:val="532834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60" w:right="1200" w:bottom="15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흰 삿갓 같은 모자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1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흰 삿갓 같은 모자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