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5E25"/>
          <w:sz w:val="66"/>
        </w:rPr>
        <w:t>같은 길이의 낮과 밤</w:t>
      </w:r>
    </w:p>
    <w:p>
      <w:pPr>
        <w:framePr w:w="9510" w:h="540" w:hRule="exact" w:wrap="around" w:vAnchor="page" w:hAnchor="page" w:x="1200" w:y="10710"/>
        <w:tabs>
          <w:tab w:pos="9510" w:val="right"/>
        </w:tabs>
        <w:spacing w:lineRule="exact" w:line="540"/>
      </w:pPr>
      <w:r>
        <w:rPr>
          <w:b/>
          <w:color w:val="53472B"/>
          <w:sz w:val="24"/>
        </w:rPr>
        <w:t xml:space="preserve">받는 사람 : </w:t>
      </w:r>
      <w:r>
        <w:rPr>
          <w:b/>
          <w:color w:val="5347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7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43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같은 길이의 낮과 밤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같은 길이의 낮과 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