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2E74"/>
          <w:sz w:val="66"/>
        </w:rPr>
        <w:t>붉은 단풍 위 하얀빛</w:t>
      </w:r>
    </w:p>
    <w:p>
      <w:pPr>
        <w:framePr w:w="9510" w:h="540" w:hRule="exact" w:wrap="around" w:vAnchor="page" w:hAnchor="page" w:x="1200" w:y="9285"/>
        <w:tabs>
          <w:tab w:pos="9510" w:val="right"/>
        </w:tabs>
        <w:spacing w:lineRule="exact" w:line="540"/>
      </w:pPr>
      <w:r>
        <w:rPr>
          <w:b/>
          <w:color w:val="282D57"/>
          <w:sz w:val="24"/>
        </w:rPr>
        <w:t xml:space="preserve">받는 사람 : </w:t>
      </w:r>
      <w:r>
        <w:rPr>
          <w:b/>
          <w:color w:val="282D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05" w:right="1200" w:bottom="147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붉은 단풍 위 하얀빛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붉은 단풍 위 하얀빛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