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110" w:y="7296"/>
        <w:spacing w:lineRule="exact" w:line="780"/>
        <w:jc w:val="left"/>
      </w:pPr>
      <w:r>
        <w:rPr>
          <w:b/>
          <w:color w:val="472574"/>
          <w:sz w:val="66"/>
        </w:rPr>
        <w:t>황금 들판 다락창</w:t>
      </w:r>
    </w:p>
    <w:p>
      <w:pPr>
        <w:framePr w:w="9810" w:h="540" w:hRule="exact" w:wrap="around" w:vAnchor="page" w:hAnchor="page" w:x="1050" w:y="8850"/>
        <w:tabs>
          <w:tab w:pos="9810" w:val="right"/>
        </w:tabs>
        <w:spacing w:lineRule="exact" w:line="540"/>
      </w:pPr>
      <w:r>
        <w:rPr>
          <w:b/>
          <w:color w:val="3A2857"/>
          <w:sz w:val="24"/>
        </w:rPr>
        <w:t xml:space="preserve">받는 사람 : </w:t>
      </w:r>
      <w:r>
        <w:rPr>
          <w:b/>
          <w:color w:val="3A2857"/>
          <w:sz w:val="24"/>
        </w:rPr>
        <w:tab/>
        <w:t>날짜 :   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3A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570" w:right="1050" w:bottom="124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황금 들판 다락창 편지지 배경 그림"/>
          <wp:cNvGraphicFramePr/>
          <a:graphic>
            <a:graphicData uri="http://schemas.openxmlformats.org/drawingml/2006/picture">
              <pic:pic>
                <pic:nvPicPr>
                  <pic:cNvPr id="0" name="window-2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황금 들판 다락창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