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765B4B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47342A"/>
          <w:spacing w:val="40"/>
          <w:sz w:val="44"/>
        </w:rPr>
        <w:t>이 력 서</w:t>
      </w:r>
      <w:r>
        <w:rPr>
          <w:color w:val="8A929C"/>
          <w:sz w:val="19"/>
        </w:rPr>
        <w:t xml:space="preserve">    INSURANCE · FINANCE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200"/>
        <w:gridCol w:w="3975"/>
        <w:gridCol w:w="1200"/>
        <w:gridCol w:w="3975"/>
      </w:tblGrid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연 락 처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활동 지역</w:t>
            </w:r>
          </w:p>
        </w:tc>
        <w:tc>
          <w:tcPr>
            <w:tcW w:type="dxa" w:w="397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20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소속 · 직위</w:t>
            </w:r>
          </w:p>
        </w:tc>
        <w:tc>
          <w:tcPr>
            <w:tcW w:type="dxa" w:w="9150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보유 자격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번호 · 비고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영업 실적 (월 · 연)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신계약 건수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수입 보험료</w:t>
            </w:r>
          </w:p>
        </w:tc>
        <w:tc>
          <w:tcPr>
            <w:tcW w:type="dxa" w:w="276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유지율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전문 영역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보장성   □ 저축 · 연금   □ 법인   □ 자영업   □ 사회초년생   □ 시니어   □ 어린이 · 청소년</w:t>
            </w:r>
          </w:p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고객 관리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정기 안부   □ 증권 점검   □ 행사 · 모임   □ 온라인 상담   □ 소개 영업</w:t>
            </w:r>
          </w:p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경력 · 학력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765B4B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47342A"/>
          <w:sz w:val="22"/>
        </w:rPr>
        <w:t>교육 · 수상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일 자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교육 · 수상명</w:t>
            </w:r>
          </w:p>
        </w:tc>
        <w:tc>
          <w:tcPr>
            <w:tcW w:type="dxa" w:w="4140"/>
            <w:shd w:val="clear" w:color="auto" w:fill="F5F3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7342A"/>
                <w:sz w:val="19"/>
              </w:rPr>
              <w:t>기 관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보험·금융 영업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