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1E6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pacing w:val="60"/>
                <w:sz w:val="48"/>
              </w:rPr>
              <w:t>이  름</w:t>
            </w:r>
            <w:r>
              <w:rPr>
                <w:b/>
                <w:color w:val="233A4D"/>
                <w:sz w:val="24"/>
              </w:rPr>
              <w:tab/>
              <w:t>전기·설비 기술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ELECTRICAL · FACILITY ENGINEER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26380"/>
              <w:left w:val="nil"/>
              <w:bottom w:val="nil"/>
              <w:right w:val="nil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26380"/>
              <w:left w:val="nil"/>
              <w:bottom w:val="nil"/>
              <w:right w:val="nil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26380"/>
              <w:left w:val="nil"/>
              <w:bottom w:val="nil"/>
              <w:right w:val="nil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자격 · 면허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담당 설비 · 현장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사업장 · 건물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설비</w:t>
            </w:r>
          </w:p>
        </w:tc>
        <w:tc>
          <w:tcPr>
            <w:tcW w:type="dxa" w:w="283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가능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수변전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소방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공조 · 냉난방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승강기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배관 · 기계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BAS · 자동제어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에너지 관리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근무 조건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상주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순회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교대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비상 대기 가능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당직 가능</w:t>
            </w:r>
          </w:p>
        </w:tc>
        <w:tc>
          <w:tcPr>
            <w:tcW w:type="dxa" w:w="2640"/>
          </w:tcPr>
          <w:p/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점검 · 정비 · 장애 대응 사례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95"/>
        <w:gridCol w:w="5295"/>
      </w:tblGrid>
      <w:tr>
        <w:trPr>
          <w:trHeight w:val="420" w:hRule="atLeast"/>
          <w:cantSplit/>
        </w:trPr>
        <w:tc>
          <w:tcPr>
            <w:tcW w:type="dxa" w:w="5295"/>
            <w:shd w:val="clear" w:color="auto" w:fill="E1E6EA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사례명</w:t>
            </w:r>
          </w:p>
        </w:tc>
        <w:tc>
          <w:tcPr>
            <w:tcW w:type="dxa" w:w="5295"/>
            <w:shd w:val="clear" w:color="auto" w:fill="E1E6EA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일 시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2"/>
            <w:tcBorders>
              <w:top w:val="nil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원인 · 조치 · 결과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