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2C4927"/>
        </w:pBdr>
        <w:spacing w:before="0" w:after="200"/>
        <w:jc w:val="left"/>
      </w:pPr>
      <w:r>
        <w:rPr>
          <w:rFonts w:ascii="바탕" w:hAnsi="바탕" w:eastAsia="바탕" w:cs="바탕"/>
          <w:color w:val="4F7A48"/>
          <w:sz w:val="22"/>
        </w:rPr>
        <w:t>보육·유아교사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F7A48"/>
          <w:sz w:val="22"/>
        </w:rPr>
        <w:t xml:space="preserve">01  </w:t>
      </w:r>
      <w:r>
        <w:rPr>
          <w:rFonts w:ascii="바탕" w:hAnsi="바탕" w:eastAsia="바탕" w:cs="바탕"/>
          <w:b/>
          <w:color w:val="2C4927"/>
          <w:sz w:val="23"/>
        </w:rPr>
        <w:t>영유아의 안전과 건강을 지킨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F7A48"/>
          <w:sz w:val="22"/>
        </w:rPr>
        <w:t xml:space="preserve">02  </w:t>
      </w:r>
      <w:r>
        <w:rPr>
          <w:rFonts w:ascii="바탕" w:hAnsi="바탕" w:eastAsia="바탕" w:cs="바탕"/>
          <w:b/>
          <w:color w:val="2C4927"/>
          <w:sz w:val="23"/>
        </w:rPr>
        <w:t>직접 계획하고 진행한 놀이·활동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F7A48"/>
          <w:sz w:val="22"/>
        </w:rPr>
        <w:t xml:space="preserve">03  </w:t>
      </w:r>
      <w:r>
        <w:rPr>
          <w:rFonts w:ascii="바탕" w:hAnsi="바탕" w:eastAsia="바탕" w:cs="바탕"/>
          <w:b/>
          <w:color w:val="2C4927"/>
          <w:sz w:val="23"/>
        </w:rPr>
        <w:t>영유아 발달에 맞춰 활동을 조정한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F7A48"/>
          <w:sz w:val="22"/>
        </w:rPr>
        <w:t xml:space="preserve">04  </w:t>
      </w:r>
      <w:r>
        <w:rPr>
          <w:rFonts w:ascii="바탕" w:hAnsi="바탕" w:eastAsia="바탕" w:cs="바탕"/>
          <w:b/>
          <w:color w:val="2C4927"/>
          <w:sz w:val="23"/>
        </w:rPr>
        <w:t>아이들 사이의 갈등을 중재한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p>
      <w:pPr>
        <w:pBdr>
          <w:bottom w:val="single" w:sz="4" w:space="1" w:color="C5D5C3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