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4F2228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824049"/>
          <w:sz w:val="22"/>
        </w:rPr>
        <w:t>회계·재무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24049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4F2228"/>
          <w:sz w:val="23"/>
        </w:rPr>
        <w:t>결산·세무 마감 시기에 일정을 지킨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24049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4F2228"/>
          <w:sz w:val="23"/>
        </w:rPr>
        <w:t>회계 지식을 비전문가에게 쉽게 설명한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24049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4F2228"/>
          <w:sz w:val="23"/>
        </w:rPr>
        <w:t>회계 처리 기준이 모호했을 때 판단한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24049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4F2228"/>
          <w:sz w:val="23"/>
        </w:rPr>
        <w:t>감사·세무 조사에 대응한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p>
      <w:pPr>
        <w:pBdr>
          <w:bottom w:val="single" w:sz="4" w:space="1" w:color="D5C3C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