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44254B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2C3D5"/>
        </w:pBdr>
        <w:spacing w:before="0" w:after="200"/>
        <w:jc w:val="left"/>
      </w:pPr>
      <w:r>
        <w:rPr>
          <w:color w:val="8A929C"/>
          <w:sz w:val="20"/>
        </w:rPr>
        <w:t>회계·재무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2457D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2457D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5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4254B"/>
                <w:sz w:val="21"/>
              </w:rPr>
              <w:t>정확성이 중요했던 업무에서 오류를 막은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2457D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2457D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5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4254B"/>
                <w:sz w:val="21"/>
              </w:rPr>
              <w:t>결산·세무 마감 시기에 일정을 지킨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2457D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2457D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5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4254B"/>
                <w:sz w:val="21"/>
              </w:rPr>
              <w:t>입사 후 갖추고 싶은 전문성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2457D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2457D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5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4254B"/>
                <w:sz w:val="21"/>
              </w:rPr>
              <w:t>여러 부서와 자료를 주고받으며 협업한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72457D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5F1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