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873B4E"/>
              <w:bottom w:val="nil"/>
              <w:right w:val="nil"/>
            </w:tcBorders>
            <w:shd w:val="clear" w:color="auto" w:fill="EBE0E3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pacing w:val="60"/>
                <w:sz w:val="46"/>
              </w:rPr>
              <w:t>이  름</w:t>
            </w:r>
            <w:r>
              <w:rPr>
                <w:b/>
                <w:color w:val="873B4E"/>
                <w:sz w:val="22"/>
              </w:rPr>
              <w:tab/>
              <w:t>물류·구매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자격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담당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 · 출고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재고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배송 · 운송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발주 · 구매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협력사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수출입 통관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창고 운영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사용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 · 프로그램</w:t>
            </w:r>
          </w:p>
        </w:tc>
        <w:tc>
          <w:tcPr>
            <w:tcW w:type="dxa" w:w="316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비용 절감 · 재고 정확도 개선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BE0E3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과 제</w:t>
            </w:r>
          </w:p>
        </w:tc>
        <w:tc>
          <w:tcPr>
            <w:tcW w:type="dxa" w:w="5265"/>
            <w:shd w:val="clear" w:color="auto" w:fill="EBE0E3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