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2C3C44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22"/>
              </w:rPr>
              <w:t>법인영업(B2B)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4F6773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4F6773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4F6773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F6773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바탕" w:hAnsi="바탕" w:eastAsia="바탕" w:cs="바탕"/>
          <w:b/>
          <w:color w:val="2C3C44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5CED3"/>
              <w:left w:val="single" w:sz="30" w:space="0" w:color="4F677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6773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6773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6773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5CED3"/>
              <w:left w:val="single" w:sz="30" w:space="0" w:color="4F677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6773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6773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6773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5CED3"/>
              <w:left w:val="single" w:sz="30" w:space="0" w:color="4F677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6773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6773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F6773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C3C44"/>
          <w:sz w:val="22"/>
        </w:rPr>
        <w:t>학력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CED3"/>
              <w:left w:val="single" w:sz="30" w:space="0" w:color="4F677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학교 / 자격명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CED3"/>
              <w:left w:val="single" w:sz="30" w:space="0" w:color="4F677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학교 / 자격명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C3C44"/>
          <w:sz w:val="22"/>
        </w:rPr>
        <w:t>영업 실적 (연도별)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CED3"/>
              <w:left w:val="single" w:sz="30" w:space="0" w:color="4F677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목표 매출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CED3"/>
              <w:left w:val="single" w:sz="30" w:space="0" w:color="4F677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목표 매출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CED3"/>
              <w:left w:val="single" w:sz="30" w:space="0" w:color="4F677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목표 매출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C3C44"/>
          <w:sz w:val="22"/>
        </w:rPr>
        <w:t>주요 거래처 · 수주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CED3"/>
              <w:left w:val="single" w:sz="30" w:space="0" w:color="4F677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제안 상품 · 솔루션</w:t>
            </w:r>
            <w:r>
              <w:rPr>
                <w:color w:val="A9B0B8"/>
                <w:sz w:val="18"/>
              </w:rPr>
              <w:tab/>
              <w:t>거래처(업종)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CED3"/>
              <w:left w:val="single" w:sz="30" w:space="0" w:color="4F677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제안 상품 · 솔루션</w:t>
            </w:r>
            <w:r>
              <w:rPr>
                <w:color w:val="A9B0B8"/>
                <w:sz w:val="18"/>
              </w:rPr>
              <w:tab/>
              <w:t>거래처(업종)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CED3"/>
              <w:left w:val="single" w:sz="30" w:space="0" w:color="4F677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제안 상품 · 솔루션</w:t>
            </w:r>
            <w:r>
              <w:rPr>
                <w:color w:val="A9B0B8"/>
                <w:sz w:val="18"/>
              </w:rPr>
              <w:tab/>
              <w:t>거래처(업종)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계약 규모 · 영업 기간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C3C44"/>
          <w:sz w:val="22"/>
        </w:rPr>
        <w:t>영업 방식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5CED3"/>
              <w:left w:val="single" w:sz="30" w:space="0" w:color="4F6773"/>
              <w:bottom w:val="single" w:sz="4" w:space="0" w:color="C5CED3"/>
              <w:right w:val="single" w:sz="4" w:space="0" w:color="C5CED3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신규 개척      □ 기존 고객 관리      □ 입찰 · 제안      □ 채널 · 대리점      □ 전화 · 온라인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C3C44"/>
          <w:sz w:val="22"/>
        </w:rPr>
        <w:t>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CED3"/>
              <w:left w:val="single" w:sz="30" w:space="0" w:color="4F677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CED3"/>
              <w:left w:val="single" w:sz="30" w:space="0" w:color="4F677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5CED3"/>
              <w:left w:val="single" w:sz="30" w:space="0" w:color="4F6773"/>
              <w:bottom w:val="single" w:sz="4" w:space="0" w:color="C5CED3"/>
              <w:right w:val="single" w:sz="4" w:space="0" w:color="C5CED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3C44"/>
                <w:sz w:val="21"/>
              </w:rPr>
              <w:t>회사명 / 직위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바탕" w:hAnsi="바탕" w:eastAsia="바탕" w:cs="바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법인영업(B2B) 이력서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2021~2024 · ○○(주) 법인영업 · 연 목표 15억 대비 달성 118% · 신규 거래처 22곳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