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22"/>
              </w:rPr>
              <w:t>병원 행정·간호조무사</w:t>
            </w:r>
            <w:r>
              <w:rPr>
                <w:color w:val="8A929C"/>
                <w:spacing w:val="20"/>
                <w:sz w:val="16"/>
              </w:rPr>
              <w:t xml:space="preserve">   ·   HOSPITAL ADMINISTRATION</w:t>
            </w:r>
          </w:p>
        </w:tc>
      </w:tr>
    </w:tbl>
    <w:p>
      <w:pPr>
        <w:keepNext w:val="0"/>
        <w:pBdr>
          <w:bottom w:val="single" w:sz="18" w:space="1" w:color="545F6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01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학력 · 교육 · 응대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02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업무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03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경험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접수 · 수납      □ 보험 청구      □ 진료 보조      □ EMR 입력      □ 콜센터      □ 검사 안내      □ 물품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04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사용 가능 프로그램 ·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545F6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>05</w:t>
      </w:r>
      <w:r>
        <w:rPr>
          <w:rFonts w:ascii="맑은 고딕" w:hAnsi="맑은 고딕" w:eastAsia="맑은 고딕" w:cs="맑은 고딕"/>
          <w:b/>
          <w:color w:val="2F3741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