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22"/>
              </w:rPr>
              <w:t>보육·유아교사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A5F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A5F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A5F48"/>
                <w:sz w:val="16"/>
              </w:rPr>
              <w:t xml:space="preserve">희망연령반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A5F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학력 · 안전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담당 가능 연령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만 0세      □ 만 1세      □ 만 2세      □ 만 3세      □ 만 4세      □ 만 5세      □ 혼합연령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진행한 활동 프로그램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