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24F37"/>
        </w:pBdr>
        <w:spacing w:before="0" w:after="160"/>
        <w:jc w:val="left"/>
      </w:pPr>
      <w:r>
        <w:rPr>
          <w:rFonts w:ascii="바탕" w:hAnsi="바탕" w:eastAsia="바탕" w:cs="바탕"/>
          <w:b/>
          <w:color w:val="224F3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브랜드·그래픽 디자이너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305"/>
        <w:gridCol w:w="3255"/>
        <w:gridCol w:w="1305"/>
        <w:gridCol w:w="279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3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3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연 락 처</w:t>
            </w:r>
          </w:p>
        </w:tc>
        <w:tc>
          <w:tcPr>
            <w:tcW w:type="dxa" w:w="279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3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3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포트폴리오</w:t>
            </w:r>
          </w:p>
        </w:tc>
        <w:tc>
          <w:tcPr>
            <w:tcW w:type="dxa" w:w="279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3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주 소</w:t>
            </w:r>
          </w:p>
        </w:tc>
        <w:tc>
          <w:tcPr>
            <w:tcW w:type="dxa" w:w="73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40825F"/>
        </w:pBdr>
        <w:spacing w:before="220" w:after="80"/>
        <w:jc w:val="left"/>
      </w:pPr>
      <w:r>
        <w:rPr>
          <w:rFonts w:ascii="바탕" w:hAnsi="바탕" w:eastAsia="바탕" w:cs="바탕"/>
          <w:b/>
          <w:color w:val="224F37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40825F"/>
        </w:pBdr>
        <w:spacing w:before="240" w:after="80"/>
        <w:jc w:val="left"/>
      </w:pPr>
      <w:r>
        <w:rPr>
          <w:rFonts w:ascii="바탕" w:hAnsi="바탕" w:eastAsia="바탕" w:cs="바탕"/>
          <w:b/>
          <w:color w:val="224F3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0825F"/>
        </w:pBdr>
        <w:spacing w:before="160" w:after="80"/>
        <w:jc w:val="left"/>
      </w:pPr>
      <w:r>
        <w:rPr>
          <w:rFonts w:ascii="바탕" w:hAnsi="바탕" w:eastAsia="바탕" w:cs="바탕"/>
          <w:b/>
          <w:color w:val="224F3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브랜드·그래픽 디자이너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2024 · ○○ 브랜드 리뉴얼 · 로고·패키지 전체 담당 · 출시 3개월 재구매율 18%p 상승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