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22"/>
              </w:rPr>
              <w:t>인사·총무</w:t>
            </w:r>
            <w:r>
              <w:rPr>
                <w:color w:val="8A929C"/>
                <w:spacing w:val="20"/>
                <w:sz w:val="16"/>
              </w:rPr>
              <w:t xml:space="preserve">   ·   HR · GENERAL AFFAIRS</w:t>
            </w:r>
          </w:p>
        </w:tc>
      </w:tr>
    </w:tbl>
    <w:p>
      <w:pPr>
        <w:keepNext w:val="0"/>
        <w:pBdr>
          <w:bottom w:val="single" w:sz="18" w:space="1" w:color="34888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01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02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담당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채용      □ 급여 · 4대보험      □ 평가 · 보상      □ 교육      □ 노무 · 근태      □ 총무 · 자산      □ 복리후생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03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04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제도 개선 ·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888E"/>
                <w:sz w:val="16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05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자격 · 활용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