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2F3741"/>
        </w:pBdr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퍼포먼스 마케터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30"/>
        <w:gridCol w:w="3975"/>
        <w:gridCol w:w="1230"/>
        <w:gridCol w:w="3915"/>
      </w:tblGrid>
      <w:tr>
        <w:trPr>
          <w:trHeight w:val="510" w:hRule="atLeast"/>
          <w:cantSplit/>
        </w:trPr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연 락 처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희망 연봉</w:t>
            </w:r>
          </w:p>
        </w:tc>
        <w:tc>
          <w:tcPr>
            <w:tcW w:type="dxa" w:w="391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3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지원 분야</w:t>
            </w:r>
          </w:p>
        </w:tc>
        <w:tc>
          <w:tcPr>
            <w:tcW w:type="dxa" w:w="912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545F6E"/>
        </w:pBdr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2F3741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545F6E"/>
        </w:pBdr>
        <w:spacing w:before="160" w:after="80"/>
        <w:jc w:val="left"/>
      </w:pPr>
      <w:r>
        <w:rPr>
          <w:rFonts w:ascii="맑은 고딕" w:hAnsi="맑은 고딕" w:eastAsia="맑은 고딕" w:cs="맑은 고딕"/>
          <w:b/>
          <w:color w:val="2F3741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545F6E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퍼포먼스 마케터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퍼포먼스 마케터는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매체별 예산·ROAS·CPA를 표로 보여 주세요. 실패한 캠페인에서 배운 점도 1줄 있으면 신뢰가 올라갑니다.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2023.01~현재 · ○○ 쇼핑몰 · 월 광고비 3,000만 원 운영 · ROAS 210% → 340%, CPA −28%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퍼포먼스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