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0825F"/>
              <w:bottom w:val="nil"/>
              <w:right w:val="nil"/>
            </w:tcBorders>
            <w:shd w:val="clear" w:color="auto" w:fill="E0EBE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pacing w:val="60"/>
                <w:sz w:val="46"/>
              </w:rPr>
              <w:t>이  름</w:t>
            </w:r>
            <w:r>
              <w:rPr>
                <w:b/>
                <w:color w:val="40825F"/>
                <w:sz w:val="22"/>
              </w:rPr>
              <w:tab/>
              <w:t>CRM·그로스 마케터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희망연봉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0825F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0825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경력 · 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CRM · 분석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고객 여정 · 자동화 운영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세그먼트</w:t>
            </w:r>
          </w:p>
        </w:tc>
        <w:tc>
          <w:tcPr>
            <w:tcW w:type="dxa" w:w="264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1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성과 (전환 · 리텐션)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5CB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24F37"/>
          <w:sz w:val="21"/>
        </w:rPr>
        <w:t>실험 · 캠페인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실험명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가 설</w:t>
            </w:r>
          </w:p>
        </w:tc>
        <w:tc>
          <w:tcPr>
            <w:tcW w:type="dxa" w:w="2655"/>
            <w:shd w:val="clear" w:color="auto" w:fill="E0EBE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대 상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D5CB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