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0" w:space="4" w:color="765B4B"/>
        </w:pBdr>
        <w:tabs>
          <w:tab w:pos="10230" w:val="right"/>
        </w:tabs>
        <w:spacing w:before="0" w:after="160"/>
        <w:jc w:val="left"/>
      </w:pPr>
      <w:r>
        <w:rPr>
          <w:rFonts w:ascii="맑은 고딕" w:hAnsi="맑은 고딕" w:eastAsia="맑은 고딕" w:cs="맑은 고딕"/>
          <w:b/>
          <w:color w:val="47342A"/>
          <w:spacing w:val="80"/>
          <w:sz w:val="42"/>
        </w:rPr>
        <w:t>자기소개서</w:t>
      </w:r>
      <w:r>
        <w:rPr>
          <w:color w:val="8A929C"/>
          <w:sz w:val="20"/>
        </w:rPr>
        <w:tab/>
        <w:t>인사·총무</w:t>
      </w:r>
    </w:p>
    <w:p>
      <w:pPr>
        <w:keepNext w:val="0"/>
        <w:spacing w:before="0" w:after="120"/>
        <w:jc w:val="left"/>
      </w:pPr>
      <w:r>
        <w:rPr>
          <w:color w:val="8A929C"/>
          <w:sz w:val="17"/>
        </w:rPr>
        <w:t>한 줄 결론 → 근거 3가지 → 본문 순서로 쓰면 읽는 사람이 첫 줄에서 핵심을 알아요.</w:t>
      </w:r>
    </w:p>
    <w:tbl>
      <w:tblPr>
        <w:tblW w:w="10230" w:type="dxa"/>
        <w:jc w:val="left"/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05"/>
        <w:gridCol w:w="3405"/>
        <w:gridCol w:w="3420"/>
      </w:tblGrid>
      <w:tr>
        <w:tc>
          <w:tcPr>
            <w:tcW w:type="dxa" w:w="3405"/>
            <w:tcBorders>
              <w:top w:val="nil"/>
              <w:left w:val="nil"/>
              <w:bottom w:val="single" w:sz="8" w:space="0" w:color="765B4B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05"/>
            <w:tcBorders>
              <w:top w:val="nil"/>
              <w:left w:val="nil"/>
              <w:bottom w:val="single" w:sz="8" w:space="0" w:color="765B4B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20"/>
            <w:tcBorders>
              <w:top w:val="nil"/>
              <w:left w:val="nil"/>
              <w:bottom w:val="single" w:sz="8" w:space="0" w:color="765B4B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765B4B"/>
          <w:sz w:val="21"/>
        </w:rPr>
        <w:t xml:space="preserve">1. </w:t>
      </w:r>
      <w:r>
        <w:rPr>
          <w:b/>
          <w:color w:val="47342A"/>
          <w:sz w:val="20"/>
        </w:rPr>
        <w:t>사람을 대하는 나의 원칙</w:t>
      </w:r>
      <w:r>
        <w:rPr>
          <w:color w:val="8A929C"/>
          <w:sz w:val="17"/>
        </w:rPr>
        <w:t xml:space="preserve">   (600자 · STAR로)</w:t>
      </w:r>
    </w:p>
    <w:tbl>
      <w:tblPr>
        <w:tblW w:w="10230" w:type="dxa"/>
        <w:jc w:val="left"/>
        <w:tblBorders>
          <w:top w:val="single" w:sz="4" w:space="0" w:color="D4CAC4"/>
          <w:left w:val="single" w:sz="4" w:space="0" w:color="D4CAC4"/>
          <w:bottom w:val="single" w:sz="4" w:space="0" w:color="D4CAC4"/>
          <w:right w:val="single" w:sz="4" w:space="0" w:color="D4CAC4"/>
          <w:insideH w:val="single" w:sz="4" w:space="0" w:color="D4CAC4"/>
          <w:insideV w:val="single" w:sz="4" w:space="0" w:color="D4CAC4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510" w:hRule="atLeast"/>
          <w:cantSplit/>
        </w:trPr>
        <w:tc>
          <w:tcPr>
            <w:tcW w:type="dxa" w:w="1440"/>
            <w:shd w:val="clear" w:color="auto" w:fill="47342A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한 줄 결론</w:t>
            </w:r>
          </w:p>
        </w:tc>
        <w:tc>
          <w:tcPr>
            <w:tcW w:type="dxa" w:w="8790"/>
          </w:tcPr>
          <w:p>
            <w:pPr>
              <w:spacing w:before="0" w:after="0"/>
              <w:jc w:val="left"/>
            </w:pPr>
          </w:p>
        </w:tc>
      </w:tr>
    </w:tbl>
    <w:tbl>
      <w:tblPr>
        <w:tblW w:w="10230" w:type="dxa"/>
        <w:jc w:val="left"/>
        <w:tblBorders>
          <w:top w:val="single" w:sz="4" w:space="0" w:color="D4CAC4"/>
          <w:left w:val="single" w:sz="4" w:space="0" w:color="D4CAC4"/>
          <w:bottom w:val="single" w:sz="4" w:space="0" w:color="D4CAC4"/>
          <w:right w:val="single" w:sz="4" w:space="0" w:color="D4CAC4"/>
          <w:insideH w:val="single" w:sz="4" w:space="0" w:color="D4CAC4"/>
          <w:insideV w:val="single" w:sz="4" w:space="0" w:color="D4CAC4"/>
        </w:tblBorders>
        <w:tblLayout w:type="fixed"/>
        <w:tblCellMar>
          <w:top w:w="40" w:type="dxa"/>
          <w:left w:w="110" w:type="dxa"/>
          <w:bottom w:w="4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420" w:hRule="atLeast"/>
          <w:cantSplit/>
        </w:trPr>
        <w:tc>
          <w:tcPr>
            <w:tcW w:type="dxa" w:w="144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7"/>
              </w:rPr>
              <w:t>근거 1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7"/>
              </w:rPr>
              <w:t>근거 2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7"/>
              </w:rPr>
              <w:t>근거 3</w:t>
            </w:r>
          </w:p>
        </w:tc>
        <w:tc>
          <w:tcPr>
            <w:tcW w:type="dxa" w:w="8790"/>
          </w:tcPr>
          <w:p/>
        </w:tc>
      </w:tr>
    </w:tbl>
    <w:tbl>
      <w:tblPr>
        <w:tblW w:w="10230" w:type="dxa"/>
        <w:jc w:val="left"/>
        <w:tblBorders>
          <w:top w:val="single" w:sz="4" w:space="0" w:color="D4CAC4"/>
          <w:left w:val="single" w:sz="4" w:space="0" w:color="D4CAC4"/>
          <w:bottom w:val="single" w:sz="4" w:space="0" w:color="D4CAC4"/>
          <w:right w:val="single" w:sz="4" w:space="0" w:color="D4CAC4"/>
          <w:insideH w:val="single" w:sz="4" w:space="0" w:color="D4CAC4"/>
          <w:insideV w:val="single" w:sz="4" w:space="0" w:color="D4CAC4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230"/>
      </w:tblGrid>
      <w:tr>
        <w:trPr>
          <w:trHeight w:val="1800" w:hRule="atLeast"/>
          <w:cantSplit/>
        </w:trPr>
        <w:tc>
          <w:tcPr>
            <w:tcW w:type="dxa" w:w="1023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765B4B"/>
          <w:sz w:val="21"/>
        </w:rPr>
        <w:t xml:space="preserve">2. </w:t>
      </w:r>
      <w:r>
        <w:rPr>
          <w:b/>
          <w:color w:val="47342A"/>
          <w:sz w:val="20"/>
        </w:rPr>
        <w:t>구성원 사이의 갈등이나 민원을 풀었던 경험</w:t>
      </w:r>
      <w:r>
        <w:rPr>
          <w:color w:val="8A929C"/>
          <w:sz w:val="17"/>
        </w:rPr>
        <w:t xml:space="preserve">   (700자)</w:t>
      </w:r>
    </w:p>
    <w:tbl>
      <w:tblPr>
        <w:tblW w:w="10230" w:type="dxa"/>
        <w:jc w:val="left"/>
        <w:tblBorders>
          <w:top w:val="single" w:sz="4" w:space="0" w:color="D4CAC4"/>
          <w:left w:val="single" w:sz="4" w:space="0" w:color="D4CAC4"/>
          <w:bottom w:val="single" w:sz="4" w:space="0" w:color="D4CAC4"/>
          <w:right w:val="single" w:sz="4" w:space="0" w:color="D4CAC4"/>
          <w:insideH w:val="single" w:sz="4" w:space="0" w:color="D4CAC4"/>
          <w:insideV w:val="single" w:sz="4" w:space="0" w:color="D4CAC4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510" w:hRule="atLeast"/>
          <w:cantSplit/>
        </w:trPr>
        <w:tc>
          <w:tcPr>
            <w:tcW w:type="dxa" w:w="1440"/>
            <w:shd w:val="clear" w:color="auto" w:fill="47342A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한 줄 결론</w:t>
            </w:r>
          </w:p>
        </w:tc>
        <w:tc>
          <w:tcPr>
            <w:tcW w:type="dxa" w:w="8790"/>
          </w:tcPr>
          <w:p>
            <w:pPr>
              <w:spacing w:before="0" w:after="0"/>
              <w:jc w:val="left"/>
            </w:pPr>
          </w:p>
        </w:tc>
      </w:tr>
    </w:tbl>
    <w:tbl>
      <w:tblPr>
        <w:tblW w:w="10230" w:type="dxa"/>
        <w:jc w:val="left"/>
        <w:tblBorders>
          <w:top w:val="single" w:sz="4" w:space="0" w:color="D4CAC4"/>
          <w:left w:val="single" w:sz="4" w:space="0" w:color="D4CAC4"/>
          <w:bottom w:val="single" w:sz="4" w:space="0" w:color="D4CAC4"/>
          <w:right w:val="single" w:sz="4" w:space="0" w:color="D4CAC4"/>
          <w:insideH w:val="single" w:sz="4" w:space="0" w:color="D4CAC4"/>
          <w:insideV w:val="single" w:sz="4" w:space="0" w:color="D4CAC4"/>
        </w:tblBorders>
        <w:tblLayout w:type="fixed"/>
        <w:tblCellMar>
          <w:top w:w="40" w:type="dxa"/>
          <w:left w:w="110" w:type="dxa"/>
          <w:bottom w:w="4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420" w:hRule="atLeast"/>
          <w:cantSplit/>
        </w:trPr>
        <w:tc>
          <w:tcPr>
            <w:tcW w:type="dxa" w:w="144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7"/>
              </w:rPr>
              <w:t>근거 1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7"/>
              </w:rPr>
              <w:t>근거 2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7"/>
              </w:rPr>
              <w:t>근거 3</w:t>
            </w:r>
          </w:p>
        </w:tc>
        <w:tc>
          <w:tcPr>
            <w:tcW w:type="dxa" w:w="8790"/>
          </w:tcPr>
          <w:p/>
        </w:tc>
      </w:tr>
    </w:tbl>
    <w:tbl>
      <w:tblPr>
        <w:tblW w:w="10230" w:type="dxa"/>
        <w:jc w:val="left"/>
        <w:tblBorders>
          <w:top w:val="single" w:sz="4" w:space="0" w:color="D4CAC4"/>
          <w:left w:val="single" w:sz="4" w:space="0" w:color="D4CAC4"/>
          <w:bottom w:val="single" w:sz="4" w:space="0" w:color="D4CAC4"/>
          <w:right w:val="single" w:sz="4" w:space="0" w:color="D4CAC4"/>
          <w:insideH w:val="single" w:sz="4" w:space="0" w:color="D4CAC4"/>
          <w:insideV w:val="single" w:sz="4" w:space="0" w:color="D4CAC4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230"/>
      </w:tblGrid>
      <w:tr>
        <w:trPr>
          <w:trHeight w:val="2100" w:hRule="atLeast"/>
          <w:cantSplit/>
        </w:trPr>
        <w:tc>
          <w:tcPr>
            <w:tcW w:type="dxa" w:w="1023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765B4B"/>
          <w:sz w:val="21"/>
        </w:rPr>
        <w:t xml:space="preserve">3. </w:t>
      </w:r>
      <w:r>
        <w:rPr>
          <w:b/>
          <w:color w:val="47342A"/>
          <w:sz w:val="20"/>
        </w:rPr>
        <w:t>개인정보·보안이 중요한 업무를 다루는 자세</w:t>
      </w:r>
      <w:r>
        <w:rPr>
          <w:color w:val="8A929C"/>
          <w:sz w:val="17"/>
        </w:rPr>
        <w:t xml:space="preserve">   (500자)</w:t>
      </w:r>
    </w:p>
    <w:tbl>
      <w:tblPr>
        <w:tblW w:w="10230" w:type="dxa"/>
        <w:jc w:val="left"/>
        <w:tblBorders>
          <w:top w:val="single" w:sz="4" w:space="0" w:color="D4CAC4"/>
          <w:left w:val="single" w:sz="4" w:space="0" w:color="D4CAC4"/>
          <w:bottom w:val="single" w:sz="4" w:space="0" w:color="D4CAC4"/>
          <w:right w:val="single" w:sz="4" w:space="0" w:color="D4CAC4"/>
          <w:insideH w:val="single" w:sz="4" w:space="0" w:color="D4CAC4"/>
          <w:insideV w:val="single" w:sz="4" w:space="0" w:color="D4CAC4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510" w:hRule="atLeast"/>
          <w:cantSplit/>
        </w:trPr>
        <w:tc>
          <w:tcPr>
            <w:tcW w:type="dxa" w:w="1440"/>
            <w:shd w:val="clear" w:color="auto" w:fill="47342A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한 줄 결론</w:t>
            </w:r>
          </w:p>
        </w:tc>
        <w:tc>
          <w:tcPr>
            <w:tcW w:type="dxa" w:w="8790"/>
          </w:tcPr>
          <w:p>
            <w:pPr>
              <w:spacing w:before="0" w:after="0"/>
              <w:jc w:val="left"/>
            </w:pPr>
          </w:p>
        </w:tc>
      </w:tr>
    </w:tbl>
    <w:tbl>
      <w:tblPr>
        <w:tblW w:w="10230" w:type="dxa"/>
        <w:jc w:val="left"/>
        <w:tblBorders>
          <w:top w:val="single" w:sz="4" w:space="0" w:color="D4CAC4"/>
          <w:left w:val="single" w:sz="4" w:space="0" w:color="D4CAC4"/>
          <w:bottom w:val="single" w:sz="4" w:space="0" w:color="D4CAC4"/>
          <w:right w:val="single" w:sz="4" w:space="0" w:color="D4CAC4"/>
          <w:insideH w:val="single" w:sz="4" w:space="0" w:color="D4CAC4"/>
          <w:insideV w:val="single" w:sz="4" w:space="0" w:color="D4CAC4"/>
        </w:tblBorders>
        <w:tblLayout w:type="fixed"/>
        <w:tblCellMar>
          <w:top w:w="40" w:type="dxa"/>
          <w:left w:w="110" w:type="dxa"/>
          <w:bottom w:w="4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420" w:hRule="atLeast"/>
          <w:cantSplit/>
        </w:trPr>
        <w:tc>
          <w:tcPr>
            <w:tcW w:type="dxa" w:w="144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7"/>
              </w:rPr>
              <w:t>근거 1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7"/>
              </w:rPr>
              <w:t>근거 2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7"/>
              </w:rPr>
              <w:t>근거 3</w:t>
            </w:r>
          </w:p>
        </w:tc>
        <w:tc>
          <w:tcPr>
            <w:tcW w:type="dxa" w:w="8790"/>
          </w:tcPr>
          <w:p/>
        </w:tc>
      </w:tr>
    </w:tbl>
    <w:tbl>
      <w:tblPr>
        <w:tblW w:w="10230" w:type="dxa"/>
        <w:jc w:val="left"/>
        <w:tblBorders>
          <w:top w:val="single" w:sz="4" w:space="0" w:color="D4CAC4"/>
          <w:left w:val="single" w:sz="4" w:space="0" w:color="D4CAC4"/>
          <w:bottom w:val="single" w:sz="4" w:space="0" w:color="D4CAC4"/>
          <w:right w:val="single" w:sz="4" w:space="0" w:color="D4CAC4"/>
          <w:insideH w:val="single" w:sz="4" w:space="0" w:color="D4CAC4"/>
          <w:insideV w:val="single" w:sz="4" w:space="0" w:color="D4CAC4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230"/>
      </w:tblGrid>
      <w:tr>
        <w:trPr>
          <w:trHeight w:val="1350" w:hRule="atLeast"/>
          <w:cantSplit/>
        </w:trPr>
        <w:tc>
          <w:tcPr>
            <w:tcW w:type="dxa" w:w="1023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765B4B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47342A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765B4B"/>
          <w:sz w:val="19"/>
        </w:rPr>
        <w:t>인사·총무 자기소개서</w:t>
      </w:r>
    </w:p>
    <w:p>
      <w:pPr>
        <w:keepNext w:val="0"/>
        <w:spacing w:before="0" w:after="60"/>
        <w:jc w:val="left"/>
      </w:pPr>
      <w:r>
        <w:rPr>
          <w:b/>
          <w:color w:val="765B4B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765B4B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765B4B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765B4B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765B4B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5F3F2"/>
          </w:tcPr>
          <w:p>
            <w:pPr>
              <w:spacing w:before="0" w:after="0"/>
              <w:jc w:val="left"/>
            </w:pPr>
            <w:r>
              <w:rPr>
                <w:b/>
                <w:color w:val="47342A"/>
                <w:sz w:val="19"/>
              </w:rPr>
              <w:t>인사·총무는 이렇게</w:t>
            </w:r>
          </w:p>
          <w:p>
            <w:pPr>
              <w:spacing w:before="40" w:after="0"/>
              <w:jc w:val="left"/>
            </w:pPr>
            <w:r>
              <w:rPr>
                <w:color w:val="47342A"/>
                <w:sz w:val="19"/>
              </w:rPr>
              <w:t>채용·급여·평가 중 담당한 영역을 정확히 체크하고, 제도 개선은 '배경 → 내용 → 성과'로 적습니다.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47342A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D4CAC4"/>
          <w:left w:val="single" w:sz="4" w:space="0" w:color="D4CAC4"/>
          <w:bottom w:val="single" w:sz="4" w:space="0" w:color="D4CAC4"/>
          <w:right w:val="single" w:sz="4" w:space="0" w:color="D4CAC4"/>
          <w:insideH w:val="single" w:sz="4" w:space="0" w:color="D4CAC4"/>
          <w:insideV w:val="single" w:sz="4" w:space="0" w:color="D4CAC4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65B4B"/>
                <w:sz w:val="19"/>
              </w:rPr>
              <w:t>신규 입사자 조기 퇴사가 잦음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65B4B"/>
                <w:sz w:val="19"/>
              </w:rPr>
              <w:t>초기 정착 개선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65B4B"/>
                <w:sz w:val="19"/>
              </w:rPr>
              <w:t>입사 첫 주 멘토제와 체크인 면담 도입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65B4B"/>
                <w:sz w:val="19"/>
              </w:rPr>
              <w:t>3개월 내 퇴사율 18→7%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47342A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50" w:right="840" w:bottom="600" w:left="84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자기소개서(두괄식) · 인사·총무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