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F7A48"/>
              <w:bottom w:val="nil"/>
              <w:right w:val="nil"/>
            </w:tcBorders>
            <w:shd w:val="clear" w:color="auto" w:fill="E3E9E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치과위생사·치과행정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sz w:val="21"/>
        </w:rPr>
        <w:t>감염관리·위생 원칙을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sz w:val="21"/>
        </w:rPr>
        <w:t>의사·동료와 소통하며 진료를 도운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3. </w:t>
      </w:r>
      <w:r>
        <w:rPr>
          <w:b/>
          <w:sz w:val="21"/>
        </w:rPr>
        <w:t>바쁜 진료 시간에 우선순위를 정한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4. </w:t>
      </w:r>
      <w:r>
        <w:rPr>
          <w:b/>
          <w:sz w:val="21"/>
        </w:rPr>
        <w:t>환자의 불안을 낮추고 신뢰를 얻은 경험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7A48"/>
          <w:sz w:val="21"/>
        </w:rPr>
        <w:t xml:space="preserve">5. </w:t>
      </w:r>
      <w:r>
        <w:rPr>
          <w:b/>
          <w:sz w:val="21"/>
        </w:rPr>
        <w:t>환자 정보를 보호하는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