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콘텐츠·SNS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브랜드 목소리(톤앤매너)를 정하고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성과를 분석해 다음 콘텐츠에 반영한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