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4F7A48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C4927"/>
          <w:spacing w:val="80"/>
          <w:sz w:val="42"/>
        </w:rPr>
        <w:t>자기소개서</w:t>
      </w:r>
      <w:r>
        <w:rPr>
          <w:color w:val="8A929C"/>
          <w:sz w:val="20"/>
        </w:rPr>
        <w:tab/>
        <w:t>콘텐츠·SNS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4F7A48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1. </w:t>
      </w:r>
      <w:r>
        <w:rPr>
          <w:b/>
          <w:color w:val="2C4927"/>
          <w:sz w:val="20"/>
        </w:rPr>
        <w:t>직접 운영한 채널 이야기와 성장 과정</w:t>
      </w:r>
      <w:r>
        <w:rPr>
          <w:color w:val="8A929C"/>
          <w:sz w:val="17"/>
        </w:rPr>
        <w:t xml:space="preserve">   (800자 · STAR로)</w:t>
      </w:r>
    </w:p>
    <w:tbl>
      <w:tblPr>
        <w:tblW w:w="102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2. </w:t>
      </w:r>
      <w:r>
        <w:rPr>
          <w:b/>
          <w:color w:val="2C4927"/>
          <w:sz w:val="20"/>
        </w:rPr>
        <w:t>반응이 가장 좋았던 콘텐츠와 그 이유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3. </w:t>
      </w:r>
      <w:r>
        <w:rPr>
          <w:b/>
          <w:color w:val="2C4927"/>
          <w:sz w:val="20"/>
        </w:rPr>
        <w:t>악플·위기 상황에 대응한 경험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콘텐츠·SNS 마케터 자기소개서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콘텐츠·SNS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팔로워 수보다 '참여율·저장·유입 전환' 같은 결과를 적습니다. 대표 콘텐츠 링크 3개를 꼭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게시물 반응이 정체돼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참여율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고객 질문을 콘텐츠 주제로 전환, 주 3회 시리즈화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참여율 1.8 → 4.6%, 문의 유입 월 140건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