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F514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5D2"/>
        </w:pBdr>
        <w:spacing w:before="0" w:after="200"/>
        <w:jc w:val="left"/>
      </w:pPr>
      <w:r>
        <w:rPr>
          <w:color w:val="8A929C"/>
          <w:sz w:val="20"/>
        </w:rPr>
        <w:t>CRM·그로스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고객 세그먼트를 나눠 성과를 낸 경험(전·후 수치)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리텐션·재구매를 높이기 위해 세운 가설과 검증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입사 후 첫 90일 계획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D857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D857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F514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F5147"/>
                <w:sz w:val="21"/>
              </w:rPr>
              <w:t>개인정보·수신 동의를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D857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