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21E2B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73B4E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면허번호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면허 · 자격 · 교육 이수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면허 · 자격 · 교육명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학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3.8/4.5)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임상 경력 (부서별)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병원명 / 병상 수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근무 부서</w:t>
            </w:r>
          </w:p>
        </w:tc>
        <w:tc>
          <w:tcPr>
            <w:tcW w:type="dxa" w:w="276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보유 술기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IV · 채혈   □ 인공호흡기   □ CRRT   □ 항암 투여   □ 투석   □ 수술실   □ 기도 흡인   □ 욕창 관리</w:t>
            </w:r>
          </w:p>
        </w:tc>
      </w:tr>
    </w:tbl>
    <w:p>
      <w:pPr>
        <w:keepNext/>
        <w:pBdr>
          <w:bottom w:val="single" w:sz="6" w:space="3" w:color="D5C3C7"/>
        </w:pBdr>
        <w:spacing w:before="240" w:after="80"/>
        <w:jc w:val="left"/>
      </w:pPr>
      <w:r>
        <w:rPr>
          <w:b/>
          <w:color w:val="873B4E"/>
          <w:sz w:val="17"/>
        </w:rPr>
        <w:t>work</w:t>
      </w:r>
      <w:r>
        <w:rPr>
          <w:rFonts w:ascii="맑은 고딕" w:hAnsi="맑은 고딕" w:eastAsia="맑은 고딕" w:cs="맑은 고딕"/>
          <w:b/>
          <w:color w:val="521E2B"/>
          <w:sz w:val="22"/>
        </w:rPr>
        <w:t xml:space="preserve">   근무 가능 형태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3교대   □ 상근   □ 야간 전담   □ 파트타임</w:t>
            </w:r>
          </w:p>
        </w:tc>
      </w:tr>
    </w:tbl>
    <w:p>
      <w:pPr>
        <w:keepNext w:val="0"/>
        <w:spacing w:before="240" w:after="60"/>
        <w:jc w:val="left"/>
      </w:pPr>
      <w:r>
        <w:rPr>
          <w:b/>
          <w:color w:val="873B4E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