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pacing w:val="60"/>
                <w:sz w:val="46"/>
              </w:rPr>
              <w:t>이  름</w:t>
            </w:r>
            <w:r>
              <w:rPr>
                <w:b/>
                <w:color w:val="545F6E"/>
                <w:sz w:val="22"/>
              </w:rPr>
              <w:tab/>
              <w:t>기술영업·솔루션 세일즈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45F6E"/>
              <w:left w:val="single" w:sz="4" w:space="0" w:color="C7CBD1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45F6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학력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영업 실적 (연도별)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0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PoC · 데모 · 수주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고객(업종)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솔루션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PoC 결과</w:t>
            </w:r>
          </w:p>
        </w:tc>
        <w:tc>
          <w:tcPr>
            <w:tcW w:type="dxa" w:w="261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2F3741"/>
          <w:sz w:val="21"/>
        </w:rPr>
        <w:t>제품 · 기술 이해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야</w:t>
            </w:r>
          </w:p>
        </w:tc>
        <w:tc>
          <w:tcPr>
            <w:tcW w:type="dxa" w:w="48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제품 · 기술</w:t>
            </w:r>
          </w:p>
        </w:tc>
        <w:tc>
          <w:tcPr>
            <w:tcW w:type="dxa" w:w="316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