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1C4954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387A8A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희망연봉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C3D2D5"/>
        </w:pBdr>
        <w:spacing w:before="240" w:after="80"/>
        <w:jc w:val="left"/>
      </w:pPr>
      <w:r>
        <w:rPr>
          <w:b/>
          <w:color w:val="387A8A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1C4954"/>
          <w:sz w:val="22"/>
        </w:rPr>
        <w:t xml:space="preserve">   학력 · 자격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C3D2D5"/>
        </w:pBdr>
        <w:spacing w:before="240" w:after="80"/>
        <w:jc w:val="left"/>
      </w:pPr>
      <w:r>
        <w:rPr>
          <w:b/>
          <w:color w:val="387A8A"/>
          <w:sz w:val="17"/>
        </w:rPr>
        <w:t>work</w:t>
      </w:r>
      <w:r>
        <w:rPr>
          <w:rFonts w:ascii="맑은 고딕" w:hAnsi="맑은 고딕" w:eastAsia="맑은 고딕" w:cs="맑은 고딕"/>
          <w:b/>
          <w:color w:val="1C4954"/>
          <w:sz w:val="22"/>
        </w:rPr>
        <w:t xml:space="preserve">   영업 실적 (연도별)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연 도</w:t>
            </w:r>
          </w:p>
        </w:tc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목표 매출</w:t>
            </w:r>
          </w:p>
        </w:tc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달성 매출</w:t>
            </w:r>
          </w:p>
        </w:tc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C3D2D5"/>
        </w:pBdr>
        <w:spacing w:before="240" w:after="80"/>
        <w:jc w:val="left"/>
      </w:pPr>
      <w:r>
        <w:rPr>
          <w:b/>
          <w:color w:val="387A8A"/>
          <w:sz w:val="17"/>
        </w:rPr>
        <w:t>work</w:t>
      </w:r>
      <w:r>
        <w:rPr>
          <w:rFonts w:ascii="맑은 고딕" w:hAnsi="맑은 고딕" w:eastAsia="맑은 고딕" w:cs="맑은 고딕"/>
          <w:b/>
          <w:color w:val="1C4954"/>
          <w:sz w:val="22"/>
        </w:rPr>
        <w:t xml:space="preserve">   주요 거래처 · 수주 사례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거래처(업종)</w:t>
            </w:r>
          </w:p>
        </w:tc>
        <w:tc>
          <w:tcPr>
            <w:tcW w:type="dxa" w:w="25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제안 상품 · 솔루션</w:t>
            </w:r>
          </w:p>
        </w:tc>
        <w:tc>
          <w:tcPr>
            <w:tcW w:type="dxa" w:w="258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계약 규모</w:t>
            </w:r>
          </w:p>
        </w:tc>
        <w:tc>
          <w:tcPr>
            <w:tcW w:type="dxa" w:w="261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영업 기간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bottom w:val="single" w:sz="6" w:space="3" w:color="C3D2D5"/>
        </w:pBdr>
        <w:spacing w:before="240" w:after="80"/>
        <w:jc w:val="left"/>
      </w:pPr>
      <w:r>
        <w:rPr>
          <w:b/>
          <w:color w:val="387A8A"/>
          <w:sz w:val="17"/>
        </w:rPr>
        <w:t>work</w:t>
      </w:r>
      <w:r>
        <w:rPr>
          <w:rFonts w:ascii="맑은 고딕" w:hAnsi="맑은 고딕" w:eastAsia="맑은 고딕" w:cs="맑은 고딕"/>
          <w:b/>
          <w:color w:val="1C4954"/>
          <w:sz w:val="22"/>
        </w:rPr>
        <w:t xml:space="preserve">   영업 방식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신규 개척   □ 기존 고객 관리   □ 입찰 · 제안   □ 채널 · 대리점   □ 전화 · 온라인</w:t>
            </w:r>
          </w:p>
        </w:tc>
      </w:tr>
    </w:tbl>
    <w:p>
      <w:pPr>
        <w:keepNext/>
        <w:pBdr>
          <w:bottom w:val="single" w:sz="6" w:space="3" w:color="C3D2D5"/>
        </w:pBdr>
        <w:spacing w:before="240" w:after="80"/>
        <w:jc w:val="left"/>
      </w:pPr>
      <w:r>
        <w:rPr>
          <w:b/>
          <w:color w:val="387A8A"/>
          <w:sz w:val="17"/>
        </w:rPr>
        <w:t>work</w:t>
      </w:r>
      <w:r>
        <w:rPr>
          <w:rFonts w:ascii="맑은 고딕" w:hAnsi="맑은 고딕" w:eastAsia="맑은 고딕" w:cs="맑은 고딕"/>
          <w:b/>
          <w:color w:val="1C4954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387A8A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