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1B2C55"/>
        </w:pBdr>
        <w:tabs>
          <w:tab w:pos="10350" w:val="right"/>
        </w:tabs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B2C55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36508C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희망연봉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지원분야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3C8D5"/>
        </w:pBdr>
        <w:spacing w:before="240" w:after="80"/>
        <w:jc w:val="left"/>
      </w:pPr>
      <w:r>
        <w:rPr>
          <w:b/>
          <w:color w:val="36508C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1B2C55"/>
          <w:sz w:val="22"/>
        </w:rPr>
        <w:t xml:space="preserve">   경력 · 학력 · 자격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3C8D5"/>
        </w:pBdr>
        <w:spacing w:before="240" w:after="80"/>
        <w:jc w:val="left"/>
      </w:pPr>
      <w:r>
        <w:rPr>
          <w:b/>
          <w:color w:val="36508C"/>
          <w:sz w:val="17"/>
        </w:rPr>
        <w:t>work</w:t>
      </w:r>
      <w:r>
        <w:rPr>
          <w:rFonts w:ascii="맑은 고딕" w:hAnsi="맑은 고딕" w:eastAsia="맑은 고딕" w:cs="맑은 고딕"/>
          <w:b/>
          <w:color w:val="1B2C55"/>
          <w:sz w:val="22"/>
        </w:rPr>
        <w:t xml:space="preserve">   광고 매체 운영 경험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매 체</w:t>
            </w:r>
          </w:p>
        </w:tc>
        <w:tc>
          <w:tcPr>
            <w:tcW w:type="dxa" w:w="25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운영 기간</w:t>
            </w:r>
          </w:p>
        </w:tc>
        <w:tc>
          <w:tcPr>
            <w:tcW w:type="dxa" w:w="25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월 평균 예산</w:t>
            </w:r>
          </w:p>
        </w:tc>
        <w:tc>
          <w:tcPr>
            <w:tcW w:type="dxa" w:w="261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성과 (ROAS · CPA)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ROAS 340% · CPA −28%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bottom w:val="single" w:sz="6" w:space="3" w:color="C3C8D5"/>
        </w:pBdr>
        <w:spacing w:before="240" w:after="80"/>
        <w:jc w:val="left"/>
      </w:pPr>
      <w:r>
        <w:rPr>
          <w:b/>
          <w:color w:val="36508C"/>
          <w:sz w:val="17"/>
        </w:rPr>
        <w:t>skills</w:t>
      </w:r>
      <w:r>
        <w:rPr>
          <w:rFonts w:ascii="맑은 고딕" w:hAnsi="맑은 고딕" w:eastAsia="맑은 고딕" w:cs="맑은 고딕"/>
          <w:b/>
          <w:color w:val="1B2C55"/>
          <w:sz w:val="22"/>
        </w:rPr>
        <w:t xml:space="preserve">   분석 · 자동화 도구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도 구</w:t>
            </w:r>
          </w:p>
        </w:tc>
        <w:tc>
          <w:tcPr>
            <w:tcW w:type="dxa" w:w="310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6" w:space="3" w:color="C3C8D5"/>
        </w:pBdr>
        <w:spacing w:before="240" w:after="80"/>
        <w:jc w:val="left"/>
      </w:pPr>
      <w:r>
        <w:rPr>
          <w:b/>
          <w:color w:val="36508C"/>
          <w:sz w:val="17"/>
        </w:rPr>
        <w:t>work</w:t>
      </w:r>
      <w:r>
        <w:rPr>
          <w:rFonts w:ascii="맑은 고딕" w:hAnsi="맑은 고딕" w:eastAsia="맑은 고딕" w:cs="맑은 고딕"/>
          <w:b/>
          <w:color w:val="1B2C55"/>
          <w:sz w:val="22"/>
        </w:rPr>
        <w:t xml:space="preserve">   캠페인 사례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캠페인명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목 표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예 산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전략 · 성과 (전후 수치)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캠페인명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목 표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예 산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전략 · 성과 (전후 수치)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 w:val="0"/>
        <w:spacing w:before="240" w:after="60"/>
        <w:jc w:val="left"/>
      </w:pPr>
      <w:r>
        <w:rPr>
          <w:b/>
          <w:color w:val="36508C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퍼포먼스 마케터 이력서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2023.01~현재 · ○○ 쇼핑몰 · 월 광고비 3,000만 원 운영 · ROAS 210% → 340%, CPA −28%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