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521E2B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22"/>
              </w:rPr>
              <w:t>퍼포먼스 마케터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873B4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73B4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73B4E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873B4E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2"/>
        </w:rPr>
        <w:t>경력 ·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2"/>
        </w:rPr>
        <w:t>광고 매체 운영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매 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매 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매 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2"/>
        </w:rPr>
        <w:t>분석 · 자동화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캠페인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캠페인명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목 표 · 예 산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73B4E"/>
                <w:sz w:val="16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5C3C7"/>
              <w:left w:val="single" w:sz="30" w:space="0" w:color="873B4E"/>
              <w:bottom w:val="single" w:sz="4" w:space="0" w:color="D5C3C7"/>
              <w:right w:val="single" w:sz="4" w:space="0" w:color="D5C3C7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캠페인명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목 표 · 예 산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73B4E"/>
                <w:sz w:val="16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