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ACCOUNTING · FINANCE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80"/>
          <w:sz w:val="60"/>
        </w:rPr>
        <w:t>이  름</w:t>
      </w:r>
    </w:p>
    <w:p>
      <w:pPr>
        <w:keepNext w:val="0"/>
        <w:pBdr>
          <w:bottom w:val="single" w:sz="24" w:space="6" w:color="31363F"/>
        </w:pBdr>
        <w:spacing w:before="0" w:after="160"/>
        <w:jc w:val="left"/>
      </w:pPr>
      <w:r>
        <w:rPr>
          <w:rFonts w:ascii="바탕" w:hAnsi="바탕" w:eastAsia="바탕" w:cs="바탕"/>
          <w:color w:val="575E6B"/>
          <w:sz w:val="22"/>
        </w:rPr>
        <w:t>회계·재무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학 력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회계 프로그램 · 도구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75E6B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75E6B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75E6B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담당 업무 범위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전표 · 장부   □ 부가세   □ 원천세   □ 결산   □ 세무조정   □ 자금 · 수지   □ 원가   □ 감사 대응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경 력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회사명 /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회사명 /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회사명 /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결산 · 세무 경험 (기간 · 규모 · 성과)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p>
      <w:pPr>
        <w:pBdr>
          <w:bottom w:val="single" w:sz="4" w:space="1" w:color="C8CBD0"/>
        </w:pBdr>
        <w:spacing w:lineRule="exact" w:line="390" w:before="0" w:after="0"/>
      </w:pPr>
    </w:p>
    <w:p>
      <w:pPr>
        <w:pBdr>
          <w:bottom w:val="single" w:sz="4" w:space="1" w:color="C8CBD0"/>
        </w:pBdr>
        <w:spacing w:lineRule="exact" w:line="390" w:before="0" w:after="0"/>
      </w:pPr>
    </w:p>
    <w:p>
      <w:pPr>
        <w:pBdr>
          <w:bottom w:val="single" w:sz="4" w:space="1" w:color="C8CBD0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자격 · 면허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2021.04~현재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