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1E2552"/>
        </w:pBdr>
        <w:tabs>
          <w:tab w:pos="10350" w:val="right"/>
        </w:tabs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E2552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3B4587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>희망연봉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>지원분야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C3C5D5"/>
        </w:pBdr>
        <w:spacing w:before="240" w:after="80"/>
        <w:jc w:val="left"/>
      </w:pPr>
      <w:r>
        <w:rPr>
          <w:b/>
          <w:color w:val="3B4587"/>
          <w:sz w:val="17"/>
        </w:rPr>
        <w:t>education</w:t>
      </w:r>
      <w:r>
        <w:rPr>
          <w:rFonts w:ascii="맑은 고딕" w:hAnsi="맑은 고딕" w:eastAsia="맑은 고딕" w:cs="맑은 고딕"/>
          <w:b/>
          <w:color w:val="1E2552"/>
          <w:sz w:val="22"/>
        </w:rPr>
        <w:t xml:space="preserve">   경력 · 학력 · 자격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C3C5D5"/>
        </w:pBdr>
        <w:spacing w:before="240" w:after="80"/>
        <w:jc w:val="left"/>
      </w:pPr>
      <w:r>
        <w:rPr>
          <w:b/>
          <w:color w:val="3B4587"/>
          <w:sz w:val="17"/>
        </w:rPr>
        <w:t>skills</w:t>
      </w:r>
      <w:r>
        <w:rPr>
          <w:rFonts w:ascii="맑은 고딕" w:hAnsi="맑은 고딕" w:eastAsia="맑은 고딕" w:cs="맑은 고딕"/>
          <w:b/>
          <w:color w:val="1E2552"/>
          <w:sz w:val="22"/>
        </w:rPr>
        <w:t xml:space="preserve">   CRM · 분석 도구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도 구</w:t>
            </w:r>
          </w:p>
        </w:tc>
        <w:tc>
          <w:tcPr>
            <w:tcW w:type="dxa" w:w="310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B4587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B4587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B4587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6" w:space="3" w:color="C3C5D5"/>
        </w:pBdr>
        <w:spacing w:before="240" w:after="80"/>
        <w:jc w:val="left"/>
      </w:pPr>
      <w:r>
        <w:rPr>
          <w:b/>
          <w:color w:val="3B4587"/>
          <w:sz w:val="17"/>
        </w:rPr>
        <w:t>work</w:t>
      </w:r>
      <w:r>
        <w:rPr>
          <w:rFonts w:ascii="맑은 고딕" w:hAnsi="맑은 고딕" w:eastAsia="맑은 고딕" w:cs="맑은 고딕"/>
          <w:b/>
          <w:color w:val="1E2552"/>
          <w:sz w:val="22"/>
        </w:rPr>
        <w:t xml:space="preserve">   고객 여정 · 자동화 운영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610"/>
      </w:tblGrid>
      <w:tr>
        <w:trPr>
          <w:trHeight w:val="420" w:hRule="atLeast"/>
          <w:cantSplit/>
        </w:trPr>
        <w:tc>
          <w:tcPr>
            <w:tcW w:type="dxa" w:w="25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채 널</w:t>
            </w:r>
          </w:p>
        </w:tc>
        <w:tc>
          <w:tcPr>
            <w:tcW w:type="dxa" w:w="25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세그먼트</w:t>
            </w:r>
          </w:p>
        </w:tc>
        <w:tc>
          <w:tcPr>
            <w:tcW w:type="dxa" w:w="25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운영 기간</w:t>
            </w:r>
          </w:p>
        </w:tc>
        <w:tc>
          <w:tcPr>
            <w:tcW w:type="dxa" w:w="261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성과 (전환 · 리텐션)</w:t>
            </w:r>
          </w:p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</w:tbl>
    <w:p>
      <w:pPr>
        <w:keepNext/>
        <w:pBdr>
          <w:bottom w:val="single" w:sz="6" w:space="3" w:color="C3C5D5"/>
        </w:pBdr>
        <w:spacing w:before="240" w:after="80"/>
        <w:jc w:val="left"/>
      </w:pPr>
      <w:r>
        <w:rPr>
          <w:b/>
          <w:color w:val="3B4587"/>
          <w:sz w:val="17"/>
        </w:rPr>
        <w:t>work</w:t>
      </w:r>
      <w:r>
        <w:rPr>
          <w:rFonts w:ascii="맑은 고딕" w:hAnsi="맑은 고딕" w:eastAsia="맑은 고딕" w:cs="맑은 고딕"/>
          <w:b/>
          <w:color w:val="1E2552"/>
          <w:sz w:val="22"/>
        </w:rPr>
        <w:t xml:space="preserve">   실험 · 캠페인 사례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실험명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가 설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대 상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방법 · 결과 (전후 수치)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실험명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가 설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대 상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방법 · 결과 (전후 수치)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 w:val="0"/>
        <w:spacing w:before="240" w:after="60"/>
        <w:jc w:val="left"/>
      </w:pPr>
      <w:r>
        <w:rPr>
          <w:b/>
          <w:color w:val="3B4587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B458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E255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B4587"/>
          <w:sz w:val="19"/>
        </w:rPr>
        <w:t>CRM·그로스 마케터 이력서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CRM·그로스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1E2552"/>
                <w:sz w:val="19"/>
              </w:rPr>
              <w:t>고객 세그먼트 기준·메시지·결과(열람·전환·재구매)를 단계별로 적습니다. 사용한 CRM 도구도 함께.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E2552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2022~현재 · ○○ 앱 CRM · 푸시·이메일 자동화 12개 · 30일 리텐션 21% → 29%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E255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CRM·그로스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