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75E6B"/>
              <w:bottom w:val="nil"/>
              <w:right w:val="nil"/>
            </w:tcBorders>
            <w:shd w:val="clear" w:color="auto" w:fill="F3F3F4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건설 현장관리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sz w:val="21"/>
        </w:rPr>
        <w:t>공기·품질·안전이 충돌했을 때 판단한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sz w:val="21"/>
        </w:rPr>
        <w:t>협력업체·작업자와 소통하며 문제를 푼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sz w:val="21"/>
        </w:rPr>
        <w:t>공정 지연을 만회하기 위해 사용한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sz w:val="21"/>
        </w:rPr>
        <w:t>건설 현장을 선택한 이유</w:t>
      </w:r>
      <w:r>
        <w:rPr>
          <w:color w:val="8A929C"/>
          <w:sz w:val="17"/>
        </w:rPr>
        <w:t xml:space="preserve">  (500자 · STAR로)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5. </w:t>
      </w:r>
      <w:r>
        <w:rPr>
          <w:b/>
          <w:sz w:val="21"/>
        </w:rPr>
        <w:t>현장 관리자로서 지켜야 할 책임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